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0940" w14:textId="2BD31F86" w:rsidR="006170B5" w:rsidRPr="006170B5" w:rsidRDefault="006170B5" w:rsidP="006170B5">
      <w:pPr>
        <w:jc w:val="right"/>
        <w:rPr>
          <w:rFonts w:ascii="Poppins" w:hAnsi="Poppins" w:cs="Poppins"/>
          <w:sz w:val="20"/>
          <w:szCs w:val="20"/>
        </w:rPr>
      </w:pPr>
      <w:r w:rsidRPr="006170B5">
        <w:rPr>
          <w:rFonts w:ascii="Poppins" w:hAnsi="Poppins" w:cs="Poppins"/>
          <w:sz w:val="20"/>
          <w:szCs w:val="20"/>
        </w:rPr>
        <w:t xml:space="preserve">Warszawa, </w:t>
      </w:r>
      <w:r w:rsidR="00103D62">
        <w:rPr>
          <w:rFonts w:ascii="Poppins" w:hAnsi="Poppins" w:cs="Poppins"/>
          <w:sz w:val="20"/>
          <w:szCs w:val="20"/>
        </w:rPr>
        <w:t>1</w:t>
      </w:r>
      <w:r w:rsidR="007266B7">
        <w:rPr>
          <w:rFonts w:ascii="Poppins" w:hAnsi="Poppins" w:cs="Poppins"/>
          <w:sz w:val="20"/>
          <w:szCs w:val="20"/>
        </w:rPr>
        <w:t>8</w:t>
      </w:r>
      <w:r w:rsidR="00BF2F46">
        <w:rPr>
          <w:rFonts w:ascii="Poppins" w:hAnsi="Poppins" w:cs="Poppins"/>
          <w:sz w:val="20"/>
          <w:szCs w:val="20"/>
        </w:rPr>
        <w:t>.</w:t>
      </w:r>
      <w:r w:rsidR="006C07E3">
        <w:rPr>
          <w:rFonts w:ascii="Poppins" w:hAnsi="Poppins" w:cs="Poppins"/>
          <w:sz w:val="20"/>
          <w:szCs w:val="20"/>
        </w:rPr>
        <w:t>0</w:t>
      </w:r>
      <w:r w:rsidR="00103D62">
        <w:rPr>
          <w:rFonts w:ascii="Poppins" w:hAnsi="Poppins" w:cs="Poppins"/>
          <w:sz w:val="20"/>
          <w:szCs w:val="20"/>
        </w:rPr>
        <w:t>1</w:t>
      </w:r>
      <w:r w:rsidR="00BF2F46">
        <w:rPr>
          <w:rFonts w:ascii="Poppins" w:hAnsi="Poppins" w:cs="Poppins"/>
          <w:sz w:val="20"/>
          <w:szCs w:val="20"/>
        </w:rPr>
        <w:t>.202</w:t>
      </w:r>
      <w:r w:rsidR="00A4731E">
        <w:rPr>
          <w:rFonts w:ascii="Poppins" w:hAnsi="Poppins" w:cs="Poppins"/>
          <w:sz w:val="20"/>
          <w:szCs w:val="20"/>
        </w:rPr>
        <w:t>4</w:t>
      </w:r>
      <w:r w:rsidR="00BF2F46">
        <w:rPr>
          <w:rFonts w:ascii="Poppins" w:hAnsi="Poppins" w:cs="Poppins"/>
          <w:sz w:val="20"/>
          <w:szCs w:val="20"/>
        </w:rPr>
        <w:t xml:space="preserve"> r.</w:t>
      </w:r>
    </w:p>
    <w:p w14:paraId="1907DD98" w14:textId="30D30E6E" w:rsidR="00CA33AD" w:rsidRPr="000C1DDD" w:rsidRDefault="00293F01" w:rsidP="00CA33AD">
      <w:pPr>
        <w:rPr>
          <w:rFonts w:ascii="Poppins" w:hAnsi="Poppins" w:cs="Poppins"/>
          <w:b/>
          <w:bCs/>
        </w:rPr>
      </w:pPr>
      <w:r w:rsidRPr="000C1DDD">
        <w:rPr>
          <w:rFonts w:ascii="Poppins" w:hAnsi="Poppins" w:cs="Poppins"/>
          <w:b/>
          <w:bCs/>
        </w:rPr>
        <w:t xml:space="preserve">Autor: </w:t>
      </w:r>
      <w:r w:rsidR="00BF2F46" w:rsidRPr="000C1DDD">
        <w:rPr>
          <w:rFonts w:ascii="Poppins" w:hAnsi="Poppins" w:cs="Poppins"/>
          <w:b/>
          <w:bCs/>
        </w:rPr>
        <w:t>Jarosław Jędrzyński</w:t>
      </w:r>
      <w:r w:rsidR="000C1DDD" w:rsidRPr="000C1DDD">
        <w:rPr>
          <w:rFonts w:ascii="Poppins" w:hAnsi="Poppins" w:cs="Poppins"/>
          <w:b/>
          <w:bCs/>
        </w:rPr>
        <w:t>, ekspert portalu RynekPierwotny.pl</w:t>
      </w:r>
    </w:p>
    <w:p w14:paraId="3AC9FCEE" w14:textId="77777777" w:rsidR="007C5EAB" w:rsidRDefault="002D07D4" w:rsidP="007C5EAB">
      <w:pPr>
        <w:spacing w:after="0" w:line="240" w:lineRule="auto"/>
        <w:rPr>
          <w:rFonts w:ascii="Poppins" w:hAnsi="Poppins" w:cs="Poppins"/>
          <w:b/>
          <w:bCs/>
          <w:sz w:val="40"/>
          <w:szCs w:val="40"/>
        </w:rPr>
      </w:pPr>
      <w:r w:rsidRPr="000C1DDD">
        <w:rPr>
          <w:rFonts w:ascii="Poppins" w:hAnsi="Poppins" w:cs="Poppins"/>
          <w:b/>
          <w:bCs/>
          <w:sz w:val="40"/>
          <w:szCs w:val="40"/>
        </w:rPr>
        <w:t xml:space="preserve">Sprzedaż deweloperów giełdowych w 2023 r. </w:t>
      </w:r>
    </w:p>
    <w:p w14:paraId="38DB645D" w14:textId="0B4A41C6" w:rsidR="002D07D4" w:rsidRPr="000C1DDD" w:rsidRDefault="002D07D4" w:rsidP="007C5EAB">
      <w:pPr>
        <w:spacing w:after="0" w:line="240" w:lineRule="auto"/>
        <w:rPr>
          <w:rFonts w:ascii="Poppins" w:hAnsi="Poppins" w:cs="Poppins"/>
          <w:b/>
          <w:bCs/>
          <w:sz w:val="40"/>
          <w:szCs w:val="40"/>
        </w:rPr>
      </w:pPr>
      <w:r w:rsidRPr="000C1DDD">
        <w:rPr>
          <w:rFonts w:ascii="Poppins" w:hAnsi="Poppins" w:cs="Poppins"/>
          <w:b/>
          <w:bCs/>
          <w:sz w:val="40"/>
          <w:szCs w:val="40"/>
        </w:rPr>
        <w:t>z rekordowym odreagowaniem</w:t>
      </w:r>
    </w:p>
    <w:p w14:paraId="6F974C66" w14:textId="6E7E6C47" w:rsidR="00391F8B" w:rsidRPr="000C1DDD" w:rsidRDefault="00391F8B" w:rsidP="000C1DDD">
      <w:pPr>
        <w:spacing w:before="120" w:after="120" w:line="240" w:lineRule="auto"/>
        <w:jc w:val="both"/>
        <w:rPr>
          <w:rFonts w:ascii="Poppins" w:hAnsi="Poppins" w:cs="Poppins"/>
          <w:b/>
          <w:sz w:val="21"/>
          <w:szCs w:val="21"/>
        </w:rPr>
      </w:pPr>
      <w:r w:rsidRPr="000C1DDD">
        <w:rPr>
          <w:rFonts w:ascii="Poppins" w:hAnsi="Poppins" w:cs="Poppins"/>
          <w:b/>
          <w:sz w:val="21"/>
          <w:szCs w:val="21"/>
        </w:rPr>
        <w:t>Tradycyjnie z początkiem nowego roku</w:t>
      </w:r>
      <w:r w:rsidR="00450095">
        <w:rPr>
          <w:rFonts w:ascii="Poppins" w:hAnsi="Poppins" w:cs="Poppins"/>
          <w:b/>
          <w:sz w:val="21"/>
          <w:szCs w:val="21"/>
        </w:rPr>
        <w:t xml:space="preserve"> spółki deweloperskie</w:t>
      </w:r>
      <w:r w:rsidRPr="000C1DDD">
        <w:rPr>
          <w:rFonts w:ascii="Poppins" w:hAnsi="Poppins" w:cs="Poppins"/>
          <w:b/>
          <w:sz w:val="21"/>
          <w:szCs w:val="21"/>
        </w:rPr>
        <w:t xml:space="preserve"> notowane na GPW publikują raporty ze sprzedaży mieszkań za ostatni kwartał oraz cały miniony rok. Zaprezentowane przez giełdowych tuzów statystyki kontraktacji osiągnęły tym razem rekordowy stopień </w:t>
      </w:r>
      <w:r w:rsidR="00420DF1" w:rsidRPr="000C1DDD">
        <w:rPr>
          <w:rFonts w:ascii="Poppins" w:hAnsi="Poppins" w:cs="Poppins"/>
          <w:b/>
          <w:sz w:val="21"/>
          <w:szCs w:val="21"/>
        </w:rPr>
        <w:t>progresu</w:t>
      </w:r>
      <w:r w:rsidRPr="000C1DDD">
        <w:rPr>
          <w:rFonts w:ascii="Poppins" w:hAnsi="Poppins" w:cs="Poppins"/>
          <w:b/>
          <w:sz w:val="21"/>
          <w:szCs w:val="21"/>
        </w:rPr>
        <w:t xml:space="preserve"> w relacji rok do roku. </w:t>
      </w:r>
      <w:r w:rsidR="00450095">
        <w:rPr>
          <w:rFonts w:ascii="Poppins" w:hAnsi="Poppins" w:cs="Poppins"/>
          <w:b/>
          <w:sz w:val="21"/>
          <w:szCs w:val="21"/>
        </w:rPr>
        <w:t>Jak tłumaczą eksperci portalu RynekPierwotny.pl t</w:t>
      </w:r>
      <w:r w:rsidRPr="000C1DDD">
        <w:rPr>
          <w:rFonts w:ascii="Poppins" w:hAnsi="Poppins" w:cs="Poppins"/>
          <w:b/>
          <w:sz w:val="21"/>
          <w:szCs w:val="21"/>
        </w:rPr>
        <w:t xml:space="preserve">o efekt wyjątkowo niskiej bazy </w:t>
      </w:r>
      <w:r w:rsidR="00420DF1" w:rsidRPr="000C1DDD">
        <w:rPr>
          <w:rFonts w:ascii="Poppins" w:hAnsi="Poppins" w:cs="Poppins"/>
          <w:b/>
          <w:sz w:val="21"/>
          <w:szCs w:val="21"/>
        </w:rPr>
        <w:t>oraz</w:t>
      </w:r>
      <w:r w:rsidRPr="000C1DDD">
        <w:rPr>
          <w:rFonts w:ascii="Poppins" w:hAnsi="Poppins" w:cs="Poppins"/>
          <w:b/>
          <w:sz w:val="21"/>
          <w:szCs w:val="21"/>
        </w:rPr>
        <w:t xml:space="preserve"> solidnego odreagowania ubiegłorocznej kontraktacji stymulowanej rządowym dopalaczem popytu</w:t>
      </w:r>
      <w:r w:rsidR="00420DF1" w:rsidRPr="000C1DDD">
        <w:rPr>
          <w:rFonts w:ascii="Poppins" w:hAnsi="Poppins" w:cs="Poppins"/>
          <w:b/>
          <w:sz w:val="21"/>
          <w:szCs w:val="21"/>
        </w:rPr>
        <w:t xml:space="preserve"> w postaci BK2%</w:t>
      </w:r>
      <w:r w:rsidRPr="000C1DDD">
        <w:rPr>
          <w:rFonts w:ascii="Poppins" w:hAnsi="Poppins" w:cs="Poppins"/>
          <w:b/>
          <w:sz w:val="21"/>
          <w:szCs w:val="21"/>
        </w:rPr>
        <w:t>. Pytanie, na ile realne jest utrzymanie tak jednoznacznie pozytywnej tendencji w bieżącym roku.</w:t>
      </w:r>
    </w:p>
    <w:p w14:paraId="220B29B5" w14:textId="32C5E192" w:rsidR="00391F8B" w:rsidRPr="000C1DDD" w:rsidRDefault="00710299" w:rsidP="000C1DDD">
      <w:pPr>
        <w:spacing w:before="120" w:after="120" w:line="240" w:lineRule="auto"/>
        <w:jc w:val="both"/>
        <w:rPr>
          <w:rFonts w:ascii="Poppins" w:hAnsi="Poppins" w:cs="Poppins"/>
          <w:b/>
          <w:sz w:val="21"/>
          <w:szCs w:val="21"/>
        </w:rPr>
      </w:pPr>
      <w:r w:rsidRPr="000C1DDD">
        <w:rPr>
          <w:rFonts w:ascii="Poppins" w:hAnsi="Poppins" w:cs="Poppins"/>
          <w:b/>
          <w:sz w:val="21"/>
          <w:szCs w:val="21"/>
        </w:rPr>
        <w:t>Optymistyczne p</w:t>
      </w:r>
      <w:r w:rsidR="00391F8B" w:rsidRPr="000C1DDD">
        <w:rPr>
          <w:rFonts w:ascii="Poppins" w:hAnsi="Poppins" w:cs="Poppins"/>
          <w:b/>
          <w:sz w:val="21"/>
          <w:szCs w:val="21"/>
        </w:rPr>
        <w:t xml:space="preserve">odsumowanie udanego roku </w:t>
      </w:r>
    </w:p>
    <w:p w14:paraId="682506B5" w14:textId="6839D711" w:rsidR="00103D62" w:rsidRPr="000C1DDD" w:rsidRDefault="00391F8B" w:rsidP="005B7B3D">
      <w:pPr>
        <w:spacing w:before="120" w:after="120" w:line="240" w:lineRule="auto"/>
        <w:jc w:val="both"/>
        <w:rPr>
          <w:rFonts w:ascii="Poppins" w:hAnsi="Poppins" w:cs="Poppins"/>
          <w:sz w:val="21"/>
          <w:szCs w:val="21"/>
        </w:rPr>
      </w:pPr>
      <w:r w:rsidRPr="000C1DDD">
        <w:rPr>
          <w:rFonts w:ascii="Poppins" w:hAnsi="Poppins" w:cs="Poppins"/>
          <w:sz w:val="21"/>
          <w:szCs w:val="21"/>
        </w:rPr>
        <w:t xml:space="preserve">Zaprezentowana stawka czternastu czołowych firm krajowej branży deweloperskiej o profilu mieszkaniowym, spółek notowanych na rynku podstawowym oraz Catalyst warszawskiej GPW, w ostatnim kwartale ub. roku zakontraktowała sprzedaż w sumie 6014 lokali, co jest wynikiem, bagatela, </w:t>
      </w:r>
      <w:r w:rsidR="00710299" w:rsidRPr="000C1DDD">
        <w:rPr>
          <w:rFonts w:ascii="Poppins" w:hAnsi="Poppins" w:cs="Poppins"/>
          <w:sz w:val="21"/>
          <w:szCs w:val="21"/>
        </w:rPr>
        <w:t xml:space="preserve">nie tylko </w:t>
      </w:r>
      <w:r w:rsidRPr="000C1DDD">
        <w:rPr>
          <w:rFonts w:ascii="Poppins" w:hAnsi="Poppins" w:cs="Poppins"/>
          <w:sz w:val="21"/>
          <w:szCs w:val="21"/>
        </w:rPr>
        <w:t>o imponujące 60 procent lepszym w relacji rok do roku</w:t>
      </w:r>
      <w:r w:rsidR="00710299" w:rsidRPr="000C1DDD">
        <w:rPr>
          <w:rFonts w:ascii="Poppins" w:hAnsi="Poppins" w:cs="Poppins"/>
          <w:sz w:val="21"/>
          <w:szCs w:val="21"/>
        </w:rPr>
        <w:t>, ale i jednym z najlepszych w historii</w:t>
      </w:r>
      <w:r w:rsidR="00F51A24" w:rsidRPr="000C1DDD">
        <w:rPr>
          <w:rFonts w:ascii="Poppins" w:hAnsi="Poppins" w:cs="Poppins"/>
          <w:sz w:val="21"/>
          <w:szCs w:val="21"/>
        </w:rPr>
        <w:t xml:space="preserve"> analogicznych okresów kwartalnych</w:t>
      </w:r>
      <w:r w:rsidR="00710299" w:rsidRPr="000C1DDD">
        <w:rPr>
          <w:rFonts w:ascii="Poppins" w:hAnsi="Poppins" w:cs="Poppins"/>
          <w:sz w:val="21"/>
          <w:szCs w:val="21"/>
        </w:rPr>
        <w:t xml:space="preserve">. </w:t>
      </w:r>
      <w:r w:rsidRPr="000C1DDD">
        <w:rPr>
          <w:rFonts w:ascii="Poppins" w:hAnsi="Poppins" w:cs="Poppins"/>
          <w:sz w:val="21"/>
          <w:szCs w:val="21"/>
        </w:rPr>
        <w:t>Z jednym wyjątkiem potwierdzającym regułę</w:t>
      </w:r>
      <w:r w:rsidR="003B4327" w:rsidRPr="000C1DDD">
        <w:rPr>
          <w:rFonts w:ascii="Poppins" w:hAnsi="Poppins" w:cs="Poppins"/>
          <w:sz w:val="21"/>
          <w:szCs w:val="21"/>
        </w:rPr>
        <w:t xml:space="preserve">, </w:t>
      </w:r>
      <w:r w:rsidR="00710299" w:rsidRPr="000C1DDD">
        <w:rPr>
          <w:rFonts w:ascii="Poppins" w:hAnsi="Poppins" w:cs="Poppins"/>
          <w:sz w:val="21"/>
          <w:szCs w:val="21"/>
        </w:rPr>
        <w:t xml:space="preserve">pozostała trzynastka zaprezentowała </w:t>
      </w:r>
      <w:r w:rsidR="001D3911" w:rsidRPr="000C1DDD">
        <w:rPr>
          <w:rFonts w:ascii="Poppins" w:hAnsi="Poppins" w:cs="Poppins"/>
          <w:sz w:val="21"/>
          <w:szCs w:val="21"/>
        </w:rPr>
        <w:t xml:space="preserve">dość </w:t>
      </w:r>
      <w:r w:rsidR="00710299" w:rsidRPr="000C1DDD">
        <w:rPr>
          <w:rFonts w:ascii="Poppins" w:hAnsi="Poppins" w:cs="Poppins"/>
          <w:sz w:val="21"/>
          <w:szCs w:val="21"/>
        </w:rPr>
        <w:t xml:space="preserve">imponujący progres </w:t>
      </w:r>
      <w:r w:rsidR="00420DF1" w:rsidRPr="000C1DDD">
        <w:rPr>
          <w:rFonts w:ascii="Poppins" w:hAnsi="Poppins" w:cs="Poppins"/>
          <w:sz w:val="21"/>
          <w:szCs w:val="21"/>
        </w:rPr>
        <w:t xml:space="preserve">w relacji </w:t>
      </w:r>
      <w:r w:rsidR="00710299" w:rsidRPr="000C1DDD">
        <w:rPr>
          <w:rFonts w:ascii="Poppins" w:hAnsi="Poppins" w:cs="Poppins"/>
          <w:sz w:val="21"/>
          <w:szCs w:val="21"/>
        </w:rPr>
        <w:t xml:space="preserve">rok do roku, liczony nie tylko w dziesiątkach, ale w pięciu przypadkach nawet w setkach procent. </w:t>
      </w:r>
    </w:p>
    <w:p w14:paraId="35BE9B07" w14:textId="215CA84B" w:rsidR="00364FDA" w:rsidRPr="000C1DDD" w:rsidRDefault="00364FDA" w:rsidP="000C1DDD">
      <w:pPr>
        <w:jc w:val="both"/>
        <w:rPr>
          <w:rFonts w:ascii="Poppins" w:hAnsi="Poppins" w:cs="Poppins"/>
          <w:sz w:val="21"/>
          <w:szCs w:val="21"/>
        </w:rPr>
      </w:pPr>
      <w:r w:rsidRPr="000C1DDD">
        <w:rPr>
          <w:rFonts w:ascii="Poppins" w:hAnsi="Poppins" w:cs="Poppins"/>
          <w:sz w:val="21"/>
          <w:szCs w:val="21"/>
        </w:rPr>
        <w:t xml:space="preserve">Sęk w tym, że tak </w:t>
      </w:r>
      <w:r w:rsidR="00420DF1" w:rsidRPr="000C1DDD">
        <w:rPr>
          <w:rFonts w:ascii="Poppins" w:hAnsi="Poppins" w:cs="Poppins"/>
          <w:sz w:val="21"/>
          <w:szCs w:val="21"/>
        </w:rPr>
        <w:t>znaczący statystycznie wzrost</w:t>
      </w:r>
      <w:r w:rsidRPr="000C1DDD">
        <w:rPr>
          <w:rFonts w:ascii="Poppins" w:hAnsi="Poppins" w:cs="Poppins"/>
          <w:sz w:val="21"/>
          <w:szCs w:val="21"/>
        </w:rPr>
        <w:t xml:space="preserve"> deweloperskiej kontraktacji, to efekt </w:t>
      </w:r>
      <w:r w:rsidR="007067E9" w:rsidRPr="000C1DDD">
        <w:rPr>
          <w:rFonts w:ascii="Poppins" w:hAnsi="Poppins" w:cs="Poppins"/>
          <w:sz w:val="21"/>
          <w:szCs w:val="21"/>
        </w:rPr>
        <w:t xml:space="preserve">bardzo </w:t>
      </w:r>
      <w:r w:rsidRPr="000C1DDD">
        <w:rPr>
          <w:rFonts w:ascii="Poppins" w:hAnsi="Poppins" w:cs="Poppins"/>
          <w:sz w:val="21"/>
          <w:szCs w:val="21"/>
        </w:rPr>
        <w:t xml:space="preserve">niskiej bazy roku 2022, czyli </w:t>
      </w:r>
      <w:r w:rsidR="00420DF1" w:rsidRPr="000C1DDD">
        <w:rPr>
          <w:rFonts w:ascii="Poppins" w:hAnsi="Poppins" w:cs="Poppins"/>
          <w:sz w:val="21"/>
          <w:szCs w:val="21"/>
        </w:rPr>
        <w:t>początkowego okresu</w:t>
      </w:r>
      <w:r w:rsidRPr="000C1DDD">
        <w:rPr>
          <w:rFonts w:ascii="Poppins" w:hAnsi="Poppins" w:cs="Poppins"/>
          <w:sz w:val="21"/>
          <w:szCs w:val="21"/>
        </w:rPr>
        <w:t xml:space="preserve"> cyklicznego spowolnienia koniunktury, </w:t>
      </w:r>
      <w:r w:rsidR="007067E9" w:rsidRPr="000C1DDD">
        <w:rPr>
          <w:rFonts w:ascii="Poppins" w:hAnsi="Poppins" w:cs="Poppins"/>
          <w:sz w:val="21"/>
          <w:szCs w:val="21"/>
        </w:rPr>
        <w:t xml:space="preserve">następnie w roku ubiegłym </w:t>
      </w:r>
      <w:r w:rsidRPr="000C1DDD">
        <w:rPr>
          <w:rFonts w:ascii="Poppins" w:hAnsi="Poppins" w:cs="Poppins"/>
          <w:sz w:val="21"/>
          <w:szCs w:val="21"/>
        </w:rPr>
        <w:t xml:space="preserve">odwołanego inicjatywą poprzedniej koalicji rządowej, która w ramach kampanii wyborczej zadysponowała </w:t>
      </w:r>
      <w:r w:rsidR="007067E9" w:rsidRPr="000C1DDD">
        <w:rPr>
          <w:rFonts w:ascii="Poppins" w:hAnsi="Poppins" w:cs="Poppins"/>
          <w:sz w:val="21"/>
          <w:szCs w:val="21"/>
        </w:rPr>
        <w:t>kolejny program dopłat do kredytów mieszkaniowych w postaci Bezpiecznego kredytu 2%. W jego efekcie</w:t>
      </w:r>
      <w:r w:rsidR="00F51A24" w:rsidRPr="000C1DDD">
        <w:rPr>
          <w:rFonts w:ascii="Poppins" w:hAnsi="Poppins" w:cs="Poppins"/>
          <w:sz w:val="21"/>
          <w:szCs w:val="21"/>
        </w:rPr>
        <w:t>,</w:t>
      </w:r>
      <w:r w:rsidR="007067E9" w:rsidRPr="000C1DDD">
        <w:rPr>
          <w:rFonts w:ascii="Poppins" w:hAnsi="Poppins" w:cs="Poppins"/>
          <w:sz w:val="21"/>
          <w:szCs w:val="21"/>
        </w:rPr>
        <w:t xml:space="preserve"> jak </w:t>
      </w:r>
      <w:r w:rsidR="00450095">
        <w:rPr>
          <w:rFonts w:ascii="Poppins" w:hAnsi="Poppins" w:cs="Poppins"/>
          <w:sz w:val="21"/>
          <w:szCs w:val="21"/>
        </w:rPr>
        <w:t xml:space="preserve">wskazują eksperci portalu </w:t>
      </w:r>
      <w:hyperlink r:id="rId7" w:history="1">
        <w:r w:rsidR="00450095" w:rsidRPr="004B0F23">
          <w:rPr>
            <w:rStyle w:val="Hipercze"/>
            <w:rFonts w:ascii="Poppins" w:hAnsi="Poppins" w:cs="Poppins"/>
            <w:color w:val="auto"/>
            <w:sz w:val="21"/>
            <w:szCs w:val="21"/>
          </w:rPr>
          <w:t>RynekPierwotny.pl</w:t>
        </w:r>
      </w:hyperlink>
      <w:r w:rsidR="007067E9" w:rsidRPr="000C1DDD">
        <w:rPr>
          <w:rFonts w:ascii="Poppins" w:hAnsi="Poppins" w:cs="Poppins"/>
          <w:sz w:val="21"/>
          <w:szCs w:val="21"/>
        </w:rPr>
        <w:t xml:space="preserve">, ceny nowych mieszkań poszybowały średnio o ponad 20 </w:t>
      </w:r>
      <w:r w:rsidR="00F51A24" w:rsidRPr="000C1DDD">
        <w:rPr>
          <w:rFonts w:ascii="Poppins" w:hAnsi="Poppins" w:cs="Poppins"/>
          <w:sz w:val="21"/>
          <w:szCs w:val="21"/>
        </w:rPr>
        <w:t xml:space="preserve">proc. </w:t>
      </w:r>
      <w:r w:rsidR="007067E9" w:rsidRPr="000C1DDD">
        <w:rPr>
          <w:rFonts w:ascii="Poppins" w:hAnsi="Poppins" w:cs="Poppins"/>
          <w:sz w:val="21"/>
          <w:szCs w:val="21"/>
        </w:rPr>
        <w:t>w głównych rodzimych metropoliach, a oferta deweloperów uległa</w:t>
      </w:r>
      <w:r w:rsidR="00223508" w:rsidRPr="000C1DDD">
        <w:rPr>
          <w:rFonts w:ascii="Poppins" w:hAnsi="Poppins" w:cs="Poppins"/>
          <w:sz w:val="21"/>
          <w:szCs w:val="21"/>
        </w:rPr>
        <w:t xml:space="preserve"> dotkliwemu wydrenowaniu.</w:t>
      </w:r>
      <w:r w:rsidR="007067E9" w:rsidRPr="000C1DDD">
        <w:rPr>
          <w:rFonts w:ascii="Poppins" w:hAnsi="Poppins" w:cs="Poppins"/>
          <w:sz w:val="21"/>
          <w:szCs w:val="21"/>
        </w:rPr>
        <w:t xml:space="preserve">  </w:t>
      </w:r>
    </w:p>
    <w:p w14:paraId="3BDDA472" w14:textId="05988B8A" w:rsidR="00223508" w:rsidRPr="000C1DDD" w:rsidRDefault="00223508" w:rsidP="000C1DDD">
      <w:pPr>
        <w:jc w:val="both"/>
        <w:rPr>
          <w:rFonts w:ascii="Poppins" w:hAnsi="Poppins" w:cs="Poppins"/>
          <w:b/>
          <w:bCs/>
          <w:sz w:val="21"/>
          <w:szCs w:val="21"/>
        </w:rPr>
      </w:pPr>
      <w:r w:rsidRPr="000C1DDD">
        <w:rPr>
          <w:rFonts w:ascii="Poppins" w:hAnsi="Poppins" w:cs="Poppins"/>
          <w:b/>
          <w:bCs/>
          <w:sz w:val="21"/>
          <w:szCs w:val="21"/>
        </w:rPr>
        <w:t>Mieszane uczucia</w:t>
      </w:r>
    </w:p>
    <w:p w14:paraId="24FCFC1A" w14:textId="57145CAF" w:rsidR="00223508" w:rsidRPr="000C1DDD" w:rsidRDefault="00223508" w:rsidP="000C1DDD">
      <w:pPr>
        <w:jc w:val="both"/>
        <w:rPr>
          <w:rFonts w:ascii="Poppins" w:hAnsi="Poppins" w:cs="Poppins"/>
          <w:sz w:val="21"/>
          <w:szCs w:val="21"/>
        </w:rPr>
      </w:pPr>
      <w:r w:rsidRPr="000C1DDD">
        <w:rPr>
          <w:rFonts w:ascii="Poppins" w:hAnsi="Poppins" w:cs="Poppins"/>
          <w:sz w:val="21"/>
          <w:szCs w:val="21"/>
        </w:rPr>
        <w:t>Ogólny wynik ubiegłorocznej kontraktacji, choć wydaje się ponadprzeciętny i zdecydowanie satysfakcjonujący jak na obecne trudne gospodarczo czasy, może jednak budzić dość mieszane odczucia. Rezultat ogółem na poziomie 23 tys. sprzedanych lokali jest o dokładnie 5 tys. jednostek gorszy od rekordowego wyniku z roku 2021</w:t>
      </w:r>
      <w:r w:rsidR="00BD289B" w:rsidRPr="000C1DDD">
        <w:rPr>
          <w:rFonts w:ascii="Poppins" w:hAnsi="Poppins" w:cs="Poppins"/>
          <w:sz w:val="21"/>
          <w:szCs w:val="21"/>
        </w:rPr>
        <w:t xml:space="preserve">, co </w:t>
      </w:r>
      <w:r w:rsidR="000E20C4" w:rsidRPr="000C1DDD">
        <w:rPr>
          <w:rFonts w:ascii="Poppins" w:hAnsi="Poppins" w:cs="Poppins"/>
          <w:sz w:val="21"/>
          <w:szCs w:val="21"/>
        </w:rPr>
        <w:t>uwzględniając fakt silnej stymulacji popytu w postaci BK2%, rodzi obawy o kontynuację dobrej passy sprzedażowej pierwotnego rynku mieszkaniowego w roku bieżącym.</w:t>
      </w:r>
      <w:r w:rsidRPr="000C1DDD">
        <w:rPr>
          <w:rFonts w:ascii="Poppins" w:hAnsi="Poppins" w:cs="Poppins"/>
          <w:sz w:val="21"/>
          <w:szCs w:val="21"/>
        </w:rPr>
        <w:t xml:space="preserve">  </w:t>
      </w:r>
    </w:p>
    <w:p w14:paraId="199A87A3" w14:textId="7F7C94DB" w:rsidR="00223508" w:rsidRPr="000C1DDD" w:rsidRDefault="00420DF1" w:rsidP="000C1DDD">
      <w:pPr>
        <w:jc w:val="both"/>
        <w:rPr>
          <w:rFonts w:ascii="Poppins" w:hAnsi="Poppins" w:cs="Poppins"/>
          <w:sz w:val="21"/>
          <w:szCs w:val="21"/>
        </w:rPr>
      </w:pPr>
      <w:r w:rsidRPr="000C1DDD">
        <w:rPr>
          <w:rFonts w:ascii="Poppins" w:hAnsi="Poppins" w:cs="Poppins"/>
          <w:sz w:val="21"/>
          <w:szCs w:val="21"/>
        </w:rPr>
        <w:t>T</w:t>
      </w:r>
      <w:r w:rsidR="00BD289B" w:rsidRPr="000C1DDD">
        <w:rPr>
          <w:rFonts w:ascii="Poppins" w:hAnsi="Poppins" w:cs="Poppins"/>
          <w:sz w:val="21"/>
          <w:szCs w:val="21"/>
        </w:rPr>
        <w:t>rzy spółki: Develia, Vi</w:t>
      </w:r>
      <w:r w:rsidR="00450095">
        <w:rPr>
          <w:rFonts w:ascii="Poppins" w:hAnsi="Poppins" w:cs="Poppins"/>
          <w:sz w:val="21"/>
          <w:szCs w:val="21"/>
        </w:rPr>
        <w:t>c</w:t>
      </w:r>
      <w:r w:rsidR="00BD289B" w:rsidRPr="000C1DDD">
        <w:rPr>
          <w:rFonts w:ascii="Poppins" w:hAnsi="Poppins" w:cs="Poppins"/>
          <w:sz w:val="21"/>
          <w:szCs w:val="21"/>
        </w:rPr>
        <w:t xml:space="preserve">toria Dom i Ronson zakomunikowały historycznie rekordowe </w:t>
      </w:r>
      <w:r w:rsidRPr="000C1DDD">
        <w:rPr>
          <w:rFonts w:ascii="Poppins" w:hAnsi="Poppins" w:cs="Poppins"/>
          <w:sz w:val="21"/>
          <w:szCs w:val="21"/>
        </w:rPr>
        <w:t xml:space="preserve">roczne </w:t>
      </w:r>
      <w:r w:rsidR="00BD289B" w:rsidRPr="000C1DDD">
        <w:rPr>
          <w:rFonts w:ascii="Poppins" w:hAnsi="Poppins" w:cs="Poppins"/>
          <w:sz w:val="21"/>
          <w:szCs w:val="21"/>
        </w:rPr>
        <w:t xml:space="preserve">wyniki sprzedaży. Z drugiej </w:t>
      </w:r>
      <w:r w:rsidRPr="000C1DDD">
        <w:rPr>
          <w:rFonts w:ascii="Poppins" w:hAnsi="Poppins" w:cs="Poppins"/>
          <w:sz w:val="21"/>
          <w:szCs w:val="21"/>
        </w:rPr>
        <w:t xml:space="preserve">strony </w:t>
      </w:r>
      <w:r w:rsidR="00BD289B" w:rsidRPr="000C1DDD">
        <w:rPr>
          <w:rFonts w:ascii="Poppins" w:hAnsi="Poppins" w:cs="Poppins"/>
          <w:sz w:val="21"/>
          <w:szCs w:val="21"/>
        </w:rPr>
        <w:t xml:space="preserve">jednak z czwórki rynkowych liderów, do których zaliczyć należy Dom Development, Atal, Robyg i Murapol, tylko pierwsza z wymienionych firm zbliżyła się do poziomu 4 tys. </w:t>
      </w:r>
      <w:r w:rsidR="000E20C4" w:rsidRPr="000C1DDD">
        <w:rPr>
          <w:rFonts w:ascii="Poppins" w:hAnsi="Poppins" w:cs="Poppins"/>
          <w:sz w:val="21"/>
          <w:szCs w:val="21"/>
        </w:rPr>
        <w:t xml:space="preserve">zakontraktowanych </w:t>
      </w:r>
      <w:r w:rsidR="00BD289B" w:rsidRPr="000C1DDD">
        <w:rPr>
          <w:rFonts w:ascii="Poppins" w:hAnsi="Poppins" w:cs="Poppins"/>
          <w:sz w:val="21"/>
          <w:szCs w:val="21"/>
        </w:rPr>
        <w:t>lokali, który dwa lata temu został wyraźnie przez nie</w:t>
      </w:r>
      <w:r w:rsidR="000E20C4" w:rsidRPr="000C1DDD">
        <w:rPr>
          <w:rFonts w:ascii="Poppins" w:hAnsi="Poppins" w:cs="Poppins"/>
          <w:sz w:val="21"/>
          <w:szCs w:val="21"/>
        </w:rPr>
        <w:t xml:space="preserve"> wszystkie </w:t>
      </w:r>
      <w:r w:rsidR="00BD289B" w:rsidRPr="000C1DDD">
        <w:rPr>
          <w:rFonts w:ascii="Poppins" w:hAnsi="Poppins" w:cs="Poppins"/>
          <w:sz w:val="21"/>
          <w:szCs w:val="21"/>
        </w:rPr>
        <w:t xml:space="preserve">przekroczony.  </w:t>
      </w:r>
    </w:p>
    <w:p w14:paraId="1E4D8AE5" w14:textId="017C5C12" w:rsidR="005B7B3D" w:rsidRDefault="005B7B3D" w:rsidP="005B7B3D">
      <w:pPr>
        <w:jc w:val="center"/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noProof/>
          <w:sz w:val="21"/>
          <w:szCs w:val="21"/>
        </w:rPr>
        <w:lastRenderedPageBreak/>
        <w:drawing>
          <wp:inline distT="0" distB="0" distL="0" distR="0" wp14:anchorId="71EAB1D0" wp14:editId="355A27C6">
            <wp:extent cx="5689881" cy="6996023"/>
            <wp:effectExtent l="0" t="0" r="6350" b="0"/>
            <wp:docPr id="20476763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18" cy="700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AA836" w14:textId="3AFD30FF" w:rsidR="000E20C4" w:rsidRPr="000C1DDD" w:rsidRDefault="000E20C4" w:rsidP="000C1DDD">
      <w:pPr>
        <w:jc w:val="both"/>
        <w:rPr>
          <w:rFonts w:ascii="Poppins" w:hAnsi="Poppins" w:cs="Poppins"/>
          <w:b/>
          <w:bCs/>
          <w:sz w:val="21"/>
          <w:szCs w:val="21"/>
        </w:rPr>
      </w:pPr>
      <w:r w:rsidRPr="000C1DDD">
        <w:rPr>
          <w:rFonts w:ascii="Poppins" w:hAnsi="Poppins" w:cs="Poppins"/>
          <w:b/>
          <w:bCs/>
          <w:sz w:val="21"/>
          <w:szCs w:val="21"/>
        </w:rPr>
        <w:t>WIG-Nieruchomości na rozdrożu</w:t>
      </w:r>
    </w:p>
    <w:p w14:paraId="4A8DCD26" w14:textId="716EE0B3" w:rsidR="000E20C4" w:rsidRPr="000C1DDD" w:rsidRDefault="000E20C4" w:rsidP="000C1DDD">
      <w:pPr>
        <w:jc w:val="both"/>
        <w:rPr>
          <w:rFonts w:ascii="Poppins" w:hAnsi="Poppins" w:cs="Poppins"/>
          <w:sz w:val="21"/>
          <w:szCs w:val="21"/>
        </w:rPr>
      </w:pPr>
      <w:r w:rsidRPr="000C1DDD">
        <w:rPr>
          <w:rFonts w:ascii="Poppins" w:hAnsi="Poppins" w:cs="Poppins"/>
          <w:sz w:val="21"/>
          <w:szCs w:val="21"/>
        </w:rPr>
        <w:t>Pomimo obiecujących perspektyw rozwoju koniunktury na rodzimym pierwotnym rynku mieszkaniowym, potwierdzonym</w:t>
      </w:r>
      <w:r w:rsidR="00875566" w:rsidRPr="000C1DDD">
        <w:rPr>
          <w:rFonts w:ascii="Poppins" w:hAnsi="Poppins" w:cs="Poppins"/>
          <w:sz w:val="21"/>
          <w:szCs w:val="21"/>
        </w:rPr>
        <w:t xml:space="preserve"> </w:t>
      </w:r>
      <w:r w:rsidRPr="000C1DDD">
        <w:rPr>
          <w:rFonts w:ascii="Poppins" w:hAnsi="Poppins" w:cs="Poppins"/>
          <w:sz w:val="21"/>
          <w:szCs w:val="21"/>
        </w:rPr>
        <w:t xml:space="preserve">deklaracją </w:t>
      </w:r>
      <w:r w:rsidR="00EE7F74" w:rsidRPr="000C1DDD">
        <w:rPr>
          <w:rFonts w:ascii="Poppins" w:hAnsi="Poppins" w:cs="Poppins"/>
          <w:sz w:val="21"/>
          <w:szCs w:val="21"/>
        </w:rPr>
        <w:t xml:space="preserve">nowych władz o kontynuacji silnego stymulowania popytu </w:t>
      </w:r>
      <w:r w:rsidR="00450095" w:rsidRPr="000C1DDD">
        <w:rPr>
          <w:rFonts w:ascii="Poppins" w:hAnsi="Poppins" w:cs="Poppins"/>
          <w:sz w:val="21"/>
          <w:szCs w:val="21"/>
        </w:rPr>
        <w:t xml:space="preserve">mieszkaniowego </w:t>
      </w:r>
      <w:r w:rsidR="00EE7F74" w:rsidRPr="000C1DDD">
        <w:rPr>
          <w:rFonts w:ascii="Poppins" w:hAnsi="Poppins" w:cs="Poppins"/>
          <w:sz w:val="21"/>
          <w:szCs w:val="21"/>
        </w:rPr>
        <w:t xml:space="preserve">kolejną sowitą transzą dopłat do hipotek, tym razem pod </w:t>
      </w:r>
      <w:r w:rsidR="00E60AF3" w:rsidRPr="000C1DDD">
        <w:rPr>
          <w:rFonts w:ascii="Poppins" w:hAnsi="Poppins" w:cs="Poppins"/>
          <w:sz w:val="21"/>
          <w:szCs w:val="21"/>
        </w:rPr>
        <w:t>szyldem</w:t>
      </w:r>
      <w:r w:rsidR="00EE7F74" w:rsidRPr="000C1DDD">
        <w:rPr>
          <w:rFonts w:ascii="Poppins" w:hAnsi="Poppins" w:cs="Poppins"/>
          <w:sz w:val="21"/>
          <w:szCs w:val="21"/>
        </w:rPr>
        <w:t xml:space="preserve"> Mieszkania na start, wskaźnik giełdowej koniunktury spółek deweloperskich i nieruchomościowych od blisko czterech miesięcy </w:t>
      </w:r>
      <w:r w:rsidR="00E60AF3" w:rsidRPr="000C1DDD">
        <w:rPr>
          <w:rFonts w:ascii="Poppins" w:hAnsi="Poppins" w:cs="Poppins"/>
          <w:sz w:val="21"/>
          <w:szCs w:val="21"/>
        </w:rPr>
        <w:t>realizuje się</w:t>
      </w:r>
      <w:r w:rsidR="00EE7F74" w:rsidRPr="000C1DDD">
        <w:rPr>
          <w:rFonts w:ascii="Poppins" w:hAnsi="Poppins" w:cs="Poppins"/>
          <w:sz w:val="21"/>
          <w:szCs w:val="21"/>
        </w:rPr>
        <w:t xml:space="preserve"> w dość wyraźnym trendzie spadkowym. Co </w:t>
      </w:r>
      <w:r w:rsidR="00E60AF3" w:rsidRPr="000C1DDD">
        <w:rPr>
          <w:rFonts w:ascii="Poppins" w:hAnsi="Poppins" w:cs="Poppins"/>
          <w:sz w:val="21"/>
          <w:szCs w:val="21"/>
        </w:rPr>
        <w:t>jednak ciekawsze</w:t>
      </w:r>
      <w:r w:rsidR="00875566" w:rsidRPr="000C1DDD">
        <w:rPr>
          <w:rFonts w:ascii="Poppins" w:hAnsi="Poppins" w:cs="Poppins"/>
          <w:sz w:val="21"/>
          <w:szCs w:val="21"/>
        </w:rPr>
        <w:t xml:space="preserve"> jak</w:t>
      </w:r>
      <w:r w:rsidR="00E60AF3" w:rsidRPr="000C1DDD">
        <w:rPr>
          <w:rFonts w:ascii="Poppins" w:hAnsi="Poppins" w:cs="Poppins"/>
          <w:sz w:val="21"/>
          <w:szCs w:val="21"/>
        </w:rPr>
        <w:t xml:space="preserve"> i</w:t>
      </w:r>
      <w:r w:rsidR="00875566" w:rsidRPr="000C1DDD">
        <w:rPr>
          <w:rFonts w:ascii="Poppins" w:hAnsi="Poppins" w:cs="Poppins"/>
          <w:sz w:val="21"/>
          <w:szCs w:val="21"/>
        </w:rPr>
        <w:t xml:space="preserve"> dosyć</w:t>
      </w:r>
      <w:r w:rsidR="00E60AF3" w:rsidRPr="000C1DDD">
        <w:rPr>
          <w:rFonts w:ascii="Poppins" w:hAnsi="Poppins" w:cs="Poppins"/>
          <w:sz w:val="21"/>
          <w:szCs w:val="21"/>
        </w:rPr>
        <w:t xml:space="preserve"> niepokojące</w:t>
      </w:r>
      <w:r w:rsidR="00EE7F74" w:rsidRPr="000C1DDD">
        <w:rPr>
          <w:rFonts w:ascii="Poppins" w:hAnsi="Poppins" w:cs="Poppins"/>
          <w:sz w:val="21"/>
          <w:szCs w:val="21"/>
        </w:rPr>
        <w:t xml:space="preserve">, </w:t>
      </w:r>
      <w:r w:rsidR="00875566" w:rsidRPr="000C1DDD">
        <w:rPr>
          <w:rFonts w:ascii="Poppins" w:hAnsi="Poppins" w:cs="Poppins"/>
          <w:sz w:val="21"/>
          <w:szCs w:val="21"/>
        </w:rPr>
        <w:t xml:space="preserve">tym samym </w:t>
      </w:r>
      <w:r w:rsidR="00EE7F74" w:rsidRPr="000C1DDD">
        <w:rPr>
          <w:rFonts w:ascii="Poppins" w:hAnsi="Poppins" w:cs="Poppins"/>
          <w:sz w:val="21"/>
          <w:szCs w:val="21"/>
        </w:rPr>
        <w:t xml:space="preserve">pozostaje </w:t>
      </w:r>
      <w:r w:rsidR="00E60AF3" w:rsidRPr="000C1DDD">
        <w:rPr>
          <w:rFonts w:ascii="Poppins" w:hAnsi="Poppins" w:cs="Poppins"/>
          <w:sz w:val="21"/>
          <w:szCs w:val="21"/>
        </w:rPr>
        <w:t xml:space="preserve">on </w:t>
      </w:r>
      <w:r w:rsidR="00EE7F74" w:rsidRPr="000C1DDD">
        <w:rPr>
          <w:rFonts w:ascii="Poppins" w:hAnsi="Poppins" w:cs="Poppins"/>
          <w:sz w:val="21"/>
          <w:szCs w:val="21"/>
        </w:rPr>
        <w:t xml:space="preserve">w </w:t>
      </w:r>
      <w:r w:rsidR="00E60AF3" w:rsidRPr="000C1DDD">
        <w:rPr>
          <w:rFonts w:ascii="Poppins" w:hAnsi="Poppins" w:cs="Poppins"/>
          <w:sz w:val="21"/>
          <w:szCs w:val="21"/>
        </w:rPr>
        <w:t xml:space="preserve">jednoznacznej </w:t>
      </w:r>
      <w:r w:rsidR="00875566" w:rsidRPr="000C1DDD">
        <w:rPr>
          <w:rFonts w:ascii="Poppins" w:hAnsi="Poppins" w:cs="Poppins"/>
          <w:sz w:val="21"/>
          <w:szCs w:val="21"/>
        </w:rPr>
        <w:t>kontrze</w:t>
      </w:r>
      <w:r w:rsidR="00F51A24" w:rsidRPr="000C1DDD">
        <w:rPr>
          <w:rFonts w:ascii="Poppins" w:hAnsi="Poppins" w:cs="Poppins"/>
          <w:sz w:val="21"/>
          <w:szCs w:val="21"/>
        </w:rPr>
        <w:t xml:space="preserve"> do</w:t>
      </w:r>
      <w:r w:rsidR="00E60AF3" w:rsidRPr="000C1DDD">
        <w:rPr>
          <w:rFonts w:ascii="Poppins" w:hAnsi="Poppins" w:cs="Poppins"/>
          <w:sz w:val="21"/>
          <w:szCs w:val="21"/>
        </w:rPr>
        <w:t xml:space="preserve"> zdecydowanie</w:t>
      </w:r>
      <w:r w:rsidR="00F51A24" w:rsidRPr="000C1DDD">
        <w:rPr>
          <w:rFonts w:ascii="Poppins" w:hAnsi="Poppins" w:cs="Poppins"/>
          <w:sz w:val="21"/>
          <w:szCs w:val="21"/>
        </w:rPr>
        <w:t xml:space="preserve"> </w:t>
      </w:r>
      <w:r w:rsidR="00450095">
        <w:rPr>
          <w:rFonts w:ascii="Poppins" w:hAnsi="Poppins" w:cs="Poppins"/>
          <w:sz w:val="21"/>
          <w:szCs w:val="21"/>
        </w:rPr>
        <w:lastRenderedPageBreak/>
        <w:t>„</w:t>
      </w:r>
      <w:r w:rsidR="00E60AF3" w:rsidRPr="000C1DDD">
        <w:rPr>
          <w:rFonts w:ascii="Poppins" w:hAnsi="Poppins" w:cs="Poppins"/>
          <w:sz w:val="21"/>
          <w:szCs w:val="21"/>
        </w:rPr>
        <w:t>byczych</w:t>
      </w:r>
      <w:r w:rsidR="00450095">
        <w:rPr>
          <w:rFonts w:ascii="Poppins" w:hAnsi="Poppins" w:cs="Poppins"/>
          <w:sz w:val="21"/>
          <w:szCs w:val="21"/>
        </w:rPr>
        <w:t>”</w:t>
      </w:r>
      <w:r w:rsidR="00E60AF3" w:rsidRPr="000C1DDD">
        <w:rPr>
          <w:rFonts w:ascii="Poppins" w:hAnsi="Poppins" w:cs="Poppins"/>
          <w:sz w:val="21"/>
          <w:szCs w:val="21"/>
        </w:rPr>
        <w:t xml:space="preserve"> tendencji </w:t>
      </w:r>
      <w:r w:rsidR="00F51A24" w:rsidRPr="000C1DDD">
        <w:rPr>
          <w:rFonts w:ascii="Poppins" w:hAnsi="Poppins" w:cs="Poppins"/>
          <w:sz w:val="21"/>
          <w:szCs w:val="21"/>
        </w:rPr>
        <w:t>głównych indeksów GPW z WIG i WI</w:t>
      </w:r>
      <w:r w:rsidR="00875566" w:rsidRPr="000C1DDD">
        <w:rPr>
          <w:rFonts w:ascii="Poppins" w:hAnsi="Poppins" w:cs="Poppins"/>
          <w:sz w:val="21"/>
          <w:szCs w:val="21"/>
        </w:rPr>
        <w:t>G</w:t>
      </w:r>
      <w:r w:rsidR="00F51A24" w:rsidRPr="000C1DDD">
        <w:rPr>
          <w:rFonts w:ascii="Poppins" w:hAnsi="Poppins" w:cs="Poppins"/>
          <w:sz w:val="21"/>
          <w:szCs w:val="21"/>
        </w:rPr>
        <w:t>-20 na czele</w:t>
      </w:r>
      <w:r w:rsidR="00E60AF3" w:rsidRPr="000C1DDD">
        <w:rPr>
          <w:rFonts w:ascii="Poppins" w:hAnsi="Poppins" w:cs="Poppins"/>
          <w:sz w:val="21"/>
          <w:szCs w:val="21"/>
        </w:rPr>
        <w:t>. Pytanie, skąd tego typu sytuacja</w:t>
      </w:r>
      <w:r w:rsidR="00450095">
        <w:rPr>
          <w:rFonts w:ascii="Poppins" w:hAnsi="Poppins" w:cs="Poppins"/>
          <w:sz w:val="21"/>
          <w:szCs w:val="21"/>
        </w:rPr>
        <w:t>?</w:t>
      </w:r>
    </w:p>
    <w:p w14:paraId="3130B0A3" w14:textId="138D0E73" w:rsidR="000E20C4" w:rsidRPr="000C1DDD" w:rsidRDefault="00E60AF3" w:rsidP="000C1DDD">
      <w:pPr>
        <w:jc w:val="both"/>
        <w:rPr>
          <w:rFonts w:ascii="Poppins" w:hAnsi="Poppins" w:cs="Poppins"/>
          <w:sz w:val="21"/>
          <w:szCs w:val="21"/>
        </w:rPr>
      </w:pPr>
      <w:r w:rsidRPr="000C1DDD">
        <w:rPr>
          <w:rFonts w:ascii="Poppins" w:hAnsi="Poppins" w:cs="Poppins"/>
          <w:sz w:val="21"/>
          <w:szCs w:val="21"/>
        </w:rPr>
        <w:t xml:space="preserve">Wygląda na to, </w:t>
      </w:r>
      <w:r w:rsidR="00450095">
        <w:rPr>
          <w:rFonts w:ascii="Poppins" w:hAnsi="Poppins" w:cs="Poppins"/>
          <w:sz w:val="21"/>
          <w:szCs w:val="21"/>
        </w:rPr>
        <w:t>ż</w:t>
      </w:r>
      <w:r w:rsidRPr="000C1DDD">
        <w:rPr>
          <w:rFonts w:ascii="Poppins" w:hAnsi="Poppins" w:cs="Poppins"/>
          <w:sz w:val="21"/>
          <w:szCs w:val="21"/>
        </w:rPr>
        <w:t xml:space="preserve">e inwestorzy giełdowi nie są do końca pewni </w:t>
      </w:r>
      <w:r w:rsidR="00875566" w:rsidRPr="000C1DDD">
        <w:rPr>
          <w:rFonts w:ascii="Poppins" w:hAnsi="Poppins" w:cs="Poppins"/>
          <w:sz w:val="21"/>
          <w:szCs w:val="21"/>
        </w:rPr>
        <w:t xml:space="preserve">pozytywnych </w:t>
      </w:r>
      <w:r w:rsidRPr="000C1DDD">
        <w:rPr>
          <w:rFonts w:ascii="Poppins" w:hAnsi="Poppins" w:cs="Poppins"/>
          <w:sz w:val="21"/>
          <w:szCs w:val="21"/>
        </w:rPr>
        <w:t xml:space="preserve">skutków teoretycznie zbawczej roli polityki mieszkaniowej kolejnych rządów, polegającej na </w:t>
      </w:r>
      <w:r w:rsidR="00182333" w:rsidRPr="000C1DDD">
        <w:rPr>
          <w:rFonts w:ascii="Poppins" w:hAnsi="Poppins" w:cs="Poppins"/>
          <w:sz w:val="21"/>
          <w:szCs w:val="21"/>
        </w:rPr>
        <w:t xml:space="preserve">dość </w:t>
      </w:r>
      <w:r w:rsidRPr="000C1DDD">
        <w:rPr>
          <w:rFonts w:ascii="Poppins" w:hAnsi="Poppins" w:cs="Poppins"/>
          <w:sz w:val="21"/>
          <w:szCs w:val="21"/>
        </w:rPr>
        <w:t xml:space="preserve">bezrefleksyjnym dosypywaniu miliardów złotych publicznych pieniędzy do preferencyjnych kredytów mieszkaniowych. </w:t>
      </w:r>
      <w:r w:rsidR="00FC0D3D" w:rsidRPr="000C1DDD">
        <w:rPr>
          <w:rFonts w:ascii="Poppins" w:hAnsi="Poppins" w:cs="Poppins"/>
          <w:sz w:val="21"/>
          <w:szCs w:val="21"/>
        </w:rPr>
        <w:t xml:space="preserve">Tego typu ścieżka rozwoju krajowej mieszkaniówki, polegająca na ciągłej stymulacji popytu bez </w:t>
      </w:r>
      <w:r w:rsidR="00A64056" w:rsidRPr="000C1DDD">
        <w:rPr>
          <w:rFonts w:ascii="Poppins" w:hAnsi="Poppins" w:cs="Poppins"/>
          <w:sz w:val="21"/>
          <w:szCs w:val="21"/>
        </w:rPr>
        <w:t xml:space="preserve">aktywnego </w:t>
      </w:r>
      <w:r w:rsidR="00FC0D3D" w:rsidRPr="000C1DDD">
        <w:rPr>
          <w:rFonts w:ascii="Poppins" w:hAnsi="Poppins" w:cs="Poppins"/>
          <w:sz w:val="21"/>
          <w:szCs w:val="21"/>
        </w:rPr>
        <w:t>wsparcia dla kreacji adekwatnej podaży, to dość ryzykowna gra do jednej bramki, która już w przewidywanej perspektywie może zaprowadzić pierwotny rynek mieszkaniowy w ślepą uliczkę.</w:t>
      </w:r>
    </w:p>
    <w:sectPr w:rsidR="000E20C4" w:rsidRPr="000C1DDD" w:rsidSect="002E0FAB">
      <w:headerReference w:type="default" r:id="rId9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B0BF" w14:textId="77777777" w:rsidR="002E0FAB" w:rsidRDefault="002E0FAB" w:rsidP="00E533BD">
      <w:pPr>
        <w:spacing w:after="0" w:line="240" w:lineRule="auto"/>
      </w:pPr>
      <w:r>
        <w:separator/>
      </w:r>
    </w:p>
  </w:endnote>
  <w:endnote w:type="continuationSeparator" w:id="0">
    <w:p w14:paraId="30D0BD95" w14:textId="77777777" w:rsidR="002E0FAB" w:rsidRDefault="002E0FAB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DE2C" w14:textId="77777777" w:rsidR="002E0FAB" w:rsidRDefault="002E0FAB" w:rsidP="00E533BD">
      <w:pPr>
        <w:spacing w:after="0" w:line="240" w:lineRule="auto"/>
      </w:pPr>
      <w:r>
        <w:separator/>
      </w:r>
    </w:p>
  </w:footnote>
  <w:footnote w:type="continuationSeparator" w:id="0">
    <w:p w14:paraId="3DFEC618" w14:textId="77777777" w:rsidR="002E0FAB" w:rsidRDefault="002E0FAB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483D" w14:textId="31C0457E" w:rsidR="00E533BD" w:rsidRDefault="00DA7D8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9997B" wp14:editId="064C2B69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427" y="4779"/>
              <wp:lineTo x="1153" y="6771"/>
              <wp:lineTo x="878" y="9559"/>
              <wp:lineTo x="933" y="15533"/>
              <wp:lineTo x="9331" y="18321"/>
              <wp:lineTo x="19211" y="19117"/>
              <wp:lineTo x="20693" y="19117"/>
              <wp:lineTo x="20693" y="18321"/>
              <wp:lineTo x="18717" y="11948"/>
              <wp:lineTo x="18826" y="8364"/>
              <wp:lineTo x="16302" y="7567"/>
              <wp:lineTo x="1921" y="4779"/>
              <wp:lineTo x="1427" y="4779"/>
            </wp:wrapPolygon>
          </wp:wrapThrough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06C">
      <w:ptab w:relativeTo="margin" w:alignment="center" w:leader="none"/>
    </w:r>
    <w:r w:rsidR="00FB7A20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61D9"/>
    <w:rsid w:val="00015274"/>
    <w:rsid w:val="00016290"/>
    <w:rsid w:val="0002489E"/>
    <w:rsid w:val="00044139"/>
    <w:rsid w:val="00056AE5"/>
    <w:rsid w:val="00057F54"/>
    <w:rsid w:val="00071AC1"/>
    <w:rsid w:val="000C1DDD"/>
    <w:rsid w:val="000C2C30"/>
    <w:rsid w:val="000E20C4"/>
    <w:rsid w:val="000F0B92"/>
    <w:rsid w:val="001003CF"/>
    <w:rsid w:val="00103CEB"/>
    <w:rsid w:val="00103D62"/>
    <w:rsid w:val="00106C6C"/>
    <w:rsid w:val="00123BF3"/>
    <w:rsid w:val="0014180C"/>
    <w:rsid w:val="00160B41"/>
    <w:rsid w:val="00171955"/>
    <w:rsid w:val="00176DE5"/>
    <w:rsid w:val="00182333"/>
    <w:rsid w:val="00182A25"/>
    <w:rsid w:val="0018306C"/>
    <w:rsid w:val="00193531"/>
    <w:rsid w:val="00194693"/>
    <w:rsid w:val="001D2BE7"/>
    <w:rsid w:val="001D3911"/>
    <w:rsid w:val="00223508"/>
    <w:rsid w:val="00226E77"/>
    <w:rsid w:val="002565D9"/>
    <w:rsid w:val="0027120F"/>
    <w:rsid w:val="00293F01"/>
    <w:rsid w:val="002C3A0A"/>
    <w:rsid w:val="002D07D4"/>
    <w:rsid w:val="002E0FAB"/>
    <w:rsid w:val="002E6753"/>
    <w:rsid w:val="0030376C"/>
    <w:rsid w:val="00331728"/>
    <w:rsid w:val="00364FDA"/>
    <w:rsid w:val="003663D9"/>
    <w:rsid w:val="00367682"/>
    <w:rsid w:val="0036796F"/>
    <w:rsid w:val="00370F36"/>
    <w:rsid w:val="00382D22"/>
    <w:rsid w:val="00391F8B"/>
    <w:rsid w:val="0039417A"/>
    <w:rsid w:val="003B4327"/>
    <w:rsid w:val="003C74F0"/>
    <w:rsid w:val="003D28BE"/>
    <w:rsid w:val="003F4D95"/>
    <w:rsid w:val="004069F6"/>
    <w:rsid w:val="00414F41"/>
    <w:rsid w:val="00420DF1"/>
    <w:rsid w:val="00442EBD"/>
    <w:rsid w:val="00445E56"/>
    <w:rsid w:val="00450095"/>
    <w:rsid w:val="0045420A"/>
    <w:rsid w:val="004B0F23"/>
    <w:rsid w:val="004B34BB"/>
    <w:rsid w:val="004C4395"/>
    <w:rsid w:val="00504683"/>
    <w:rsid w:val="00507867"/>
    <w:rsid w:val="00507B27"/>
    <w:rsid w:val="005329D7"/>
    <w:rsid w:val="005428ED"/>
    <w:rsid w:val="00562815"/>
    <w:rsid w:val="005641A0"/>
    <w:rsid w:val="00565B3F"/>
    <w:rsid w:val="00571D71"/>
    <w:rsid w:val="005756AC"/>
    <w:rsid w:val="00595106"/>
    <w:rsid w:val="005B6EC7"/>
    <w:rsid w:val="005B7B3D"/>
    <w:rsid w:val="005D03E9"/>
    <w:rsid w:val="005D149B"/>
    <w:rsid w:val="005D60E5"/>
    <w:rsid w:val="005E154B"/>
    <w:rsid w:val="006170B5"/>
    <w:rsid w:val="00655E69"/>
    <w:rsid w:val="006575E9"/>
    <w:rsid w:val="0066231E"/>
    <w:rsid w:val="00693D0A"/>
    <w:rsid w:val="006C07E3"/>
    <w:rsid w:val="006D1A53"/>
    <w:rsid w:val="006E144D"/>
    <w:rsid w:val="006E194D"/>
    <w:rsid w:val="006F0A66"/>
    <w:rsid w:val="006F1831"/>
    <w:rsid w:val="007067E9"/>
    <w:rsid w:val="00710299"/>
    <w:rsid w:val="007266B7"/>
    <w:rsid w:val="007425EC"/>
    <w:rsid w:val="00782C3E"/>
    <w:rsid w:val="00793B7D"/>
    <w:rsid w:val="007A024D"/>
    <w:rsid w:val="007C5EAB"/>
    <w:rsid w:val="007E3768"/>
    <w:rsid w:val="00801EEA"/>
    <w:rsid w:val="00825AD9"/>
    <w:rsid w:val="008265FD"/>
    <w:rsid w:val="00836B91"/>
    <w:rsid w:val="00875566"/>
    <w:rsid w:val="00884A9A"/>
    <w:rsid w:val="008A0725"/>
    <w:rsid w:val="008A109B"/>
    <w:rsid w:val="008A7207"/>
    <w:rsid w:val="008C4684"/>
    <w:rsid w:val="008C55BD"/>
    <w:rsid w:val="008E239F"/>
    <w:rsid w:val="008F7B1C"/>
    <w:rsid w:val="0091278B"/>
    <w:rsid w:val="009232E8"/>
    <w:rsid w:val="00967D21"/>
    <w:rsid w:val="0098333B"/>
    <w:rsid w:val="00990AA6"/>
    <w:rsid w:val="009A324B"/>
    <w:rsid w:val="009A3D85"/>
    <w:rsid w:val="009A4AA4"/>
    <w:rsid w:val="009C2310"/>
    <w:rsid w:val="009C234B"/>
    <w:rsid w:val="00A0126E"/>
    <w:rsid w:val="00A17D1B"/>
    <w:rsid w:val="00A24093"/>
    <w:rsid w:val="00A4731E"/>
    <w:rsid w:val="00A519E1"/>
    <w:rsid w:val="00A547BE"/>
    <w:rsid w:val="00A64056"/>
    <w:rsid w:val="00A64C0A"/>
    <w:rsid w:val="00A74FA9"/>
    <w:rsid w:val="00A85C7B"/>
    <w:rsid w:val="00A90FB0"/>
    <w:rsid w:val="00AD0B83"/>
    <w:rsid w:val="00B141B2"/>
    <w:rsid w:val="00B17444"/>
    <w:rsid w:val="00B243C4"/>
    <w:rsid w:val="00B334C3"/>
    <w:rsid w:val="00B33F85"/>
    <w:rsid w:val="00B42848"/>
    <w:rsid w:val="00B430F1"/>
    <w:rsid w:val="00B5353F"/>
    <w:rsid w:val="00B6641D"/>
    <w:rsid w:val="00B675F4"/>
    <w:rsid w:val="00B90C5F"/>
    <w:rsid w:val="00BA48E5"/>
    <w:rsid w:val="00BA4AE2"/>
    <w:rsid w:val="00BD289B"/>
    <w:rsid w:val="00BE548A"/>
    <w:rsid w:val="00BE7A24"/>
    <w:rsid w:val="00BF285E"/>
    <w:rsid w:val="00BF2F46"/>
    <w:rsid w:val="00C05921"/>
    <w:rsid w:val="00C12248"/>
    <w:rsid w:val="00C35B7E"/>
    <w:rsid w:val="00C50A12"/>
    <w:rsid w:val="00CA33AD"/>
    <w:rsid w:val="00CB7C00"/>
    <w:rsid w:val="00CC024E"/>
    <w:rsid w:val="00CC3CE7"/>
    <w:rsid w:val="00CC5797"/>
    <w:rsid w:val="00CD15B5"/>
    <w:rsid w:val="00CF036B"/>
    <w:rsid w:val="00D061AE"/>
    <w:rsid w:val="00D1044B"/>
    <w:rsid w:val="00D3042F"/>
    <w:rsid w:val="00D320B2"/>
    <w:rsid w:val="00D3312D"/>
    <w:rsid w:val="00D455CB"/>
    <w:rsid w:val="00D56A8C"/>
    <w:rsid w:val="00D61549"/>
    <w:rsid w:val="00DA0E39"/>
    <w:rsid w:val="00DA0EE2"/>
    <w:rsid w:val="00DA494D"/>
    <w:rsid w:val="00DA72F4"/>
    <w:rsid w:val="00DA7D8F"/>
    <w:rsid w:val="00DB60A0"/>
    <w:rsid w:val="00DC1870"/>
    <w:rsid w:val="00DD57D9"/>
    <w:rsid w:val="00DD6A44"/>
    <w:rsid w:val="00E0597D"/>
    <w:rsid w:val="00E25AAC"/>
    <w:rsid w:val="00E32A58"/>
    <w:rsid w:val="00E32F03"/>
    <w:rsid w:val="00E3719E"/>
    <w:rsid w:val="00E440F2"/>
    <w:rsid w:val="00E533BD"/>
    <w:rsid w:val="00E60AF3"/>
    <w:rsid w:val="00E73303"/>
    <w:rsid w:val="00E84E26"/>
    <w:rsid w:val="00EA18AB"/>
    <w:rsid w:val="00EA269B"/>
    <w:rsid w:val="00EC10B9"/>
    <w:rsid w:val="00EC5BB4"/>
    <w:rsid w:val="00ED61B2"/>
    <w:rsid w:val="00ED6CE9"/>
    <w:rsid w:val="00EE7F74"/>
    <w:rsid w:val="00EF2044"/>
    <w:rsid w:val="00F06678"/>
    <w:rsid w:val="00F21411"/>
    <w:rsid w:val="00F2311C"/>
    <w:rsid w:val="00F27BE9"/>
    <w:rsid w:val="00F51A24"/>
    <w:rsid w:val="00F52BC1"/>
    <w:rsid w:val="00F60C6C"/>
    <w:rsid w:val="00F9538E"/>
    <w:rsid w:val="00FA42CC"/>
    <w:rsid w:val="00FB1774"/>
    <w:rsid w:val="00FB7A20"/>
    <w:rsid w:val="00FC0D3D"/>
    <w:rsid w:val="00FD5C22"/>
    <w:rsid w:val="00FF1AE0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F5DA"/>
  <w15:chartTrackingRefBased/>
  <w15:docId w15:val="{F36E7F9C-64BC-455F-93AF-CCB032D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NormalnyWeb">
    <w:name w:val="Normal (Web)"/>
    <w:basedOn w:val="Normalny"/>
    <w:uiPriority w:val="99"/>
    <w:semiHidden/>
    <w:unhideWhenUsed/>
    <w:rsid w:val="0027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120F"/>
    <w:rPr>
      <w:color w:val="0000FF"/>
      <w:u w:val="single"/>
    </w:rPr>
  </w:style>
  <w:style w:type="character" w:customStyle="1" w:styleId="hgkelc">
    <w:name w:val="hgkelc"/>
    <w:basedOn w:val="Domylnaczcionkaakapitu"/>
    <w:rsid w:val="00E3719E"/>
  </w:style>
  <w:style w:type="character" w:styleId="Pogrubienie">
    <w:name w:val="Strong"/>
    <w:basedOn w:val="Domylnaczcionkaakapitu"/>
    <w:uiPriority w:val="22"/>
    <w:qFormat/>
    <w:rsid w:val="004C4395"/>
    <w:rPr>
      <w:b/>
      <w:bCs/>
    </w:rPr>
  </w:style>
  <w:style w:type="paragraph" w:styleId="Bezodstpw">
    <w:name w:val="No Spacing"/>
    <w:uiPriority w:val="1"/>
    <w:qFormat/>
    <w:rsid w:val="00F27BE9"/>
    <w:pPr>
      <w:spacing w:after="0" w:line="240" w:lineRule="auto"/>
    </w:pPr>
  </w:style>
  <w:style w:type="paragraph" w:customStyle="1" w:styleId="Textbody">
    <w:name w:val="Text body"/>
    <w:basedOn w:val="Normalny"/>
    <w:rsid w:val="00571D71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ynekpierwotny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Kazimierczak</dc:creator>
  <cp:keywords/>
  <dc:description/>
  <cp:lastModifiedBy>Mikołaj Ostrowski</cp:lastModifiedBy>
  <cp:revision>93</cp:revision>
  <cp:lastPrinted>2022-08-09T11:51:00Z</cp:lastPrinted>
  <dcterms:created xsi:type="dcterms:W3CDTF">2024-01-14T18:48:00Z</dcterms:created>
  <dcterms:modified xsi:type="dcterms:W3CDTF">2024-01-18T10:44:00Z</dcterms:modified>
</cp:coreProperties>
</file>